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C8CE" w14:textId="67DC8661" w:rsidR="00B50727" w:rsidRPr="005B6B96" w:rsidRDefault="002B60BE" w:rsidP="001B088A">
      <w:pPr>
        <w:pStyle w:val="Heading2"/>
      </w:pPr>
      <w:r>
        <w:t>BUILD AMERICA, BUY AMERICA (BABA)</w:t>
      </w:r>
      <w:r w:rsidR="008A18D2" w:rsidRPr="005B6B96">
        <w:t>:</w:t>
      </w:r>
    </w:p>
    <w:tbl>
      <w:tblPr>
        <w:tblW w:w="0" w:type="auto"/>
        <w:tblLayout w:type="fixed"/>
        <w:tblLook w:val="0020" w:firstRow="1" w:lastRow="0" w:firstColumn="0" w:lastColumn="0" w:noHBand="0" w:noVBand="0"/>
      </w:tblPr>
      <w:tblGrid>
        <w:gridCol w:w="3192"/>
        <w:gridCol w:w="3192"/>
        <w:gridCol w:w="3192"/>
      </w:tblGrid>
      <w:tr w:rsidR="00A2147E" w:rsidRPr="004F1661" w14:paraId="23A3DB2A" w14:textId="77777777" w:rsidTr="00ED3E9A">
        <w:tc>
          <w:tcPr>
            <w:tcW w:w="3192" w:type="dxa"/>
          </w:tcPr>
          <w:p w14:paraId="48DB4A92" w14:textId="5509DC17" w:rsidR="00A2147E" w:rsidRPr="004F1661" w:rsidRDefault="00A2147E" w:rsidP="00085EC3">
            <w:pPr>
              <w:keepNext/>
              <w:keepLines/>
              <w:jc w:val="both"/>
              <w:rPr>
                <w:sz w:val="16"/>
              </w:rPr>
            </w:pPr>
            <w:r w:rsidRPr="004F1661">
              <w:rPr>
                <w:sz w:val="16"/>
              </w:rPr>
              <w:t>(</w:t>
            </w:r>
            <w:r w:rsidR="006B4EC6">
              <w:rPr>
                <w:sz w:val="16"/>
              </w:rPr>
              <w:t>10-21-26</w:t>
            </w:r>
            <w:r w:rsidR="00995ACB">
              <w:rPr>
                <w:sz w:val="16"/>
              </w:rPr>
              <w:t>)</w:t>
            </w:r>
          </w:p>
        </w:tc>
        <w:tc>
          <w:tcPr>
            <w:tcW w:w="3192" w:type="dxa"/>
          </w:tcPr>
          <w:p w14:paraId="1FC8A4AC" w14:textId="7D243852" w:rsidR="00A2147E" w:rsidRPr="004F1661" w:rsidRDefault="002B60BE" w:rsidP="00085EC3">
            <w:pPr>
              <w:keepNext/>
              <w:keepLines/>
              <w:jc w:val="center"/>
              <w:rPr>
                <w:sz w:val="16"/>
              </w:rPr>
            </w:pPr>
            <w:r>
              <w:rPr>
                <w:sz w:val="16"/>
              </w:rPr>
              <w:t>106</w:t>
            </w:r>
          </w:p>
        </w:tc>
        <w:tc>
          <w:tcPr>
            <w:tcW w:w="3192" w:type="dxa"/>
          </w:tcPr>
          <w:p w14:paraId="6F6227F5" w14:textId="73BCF672" w:rsidR="00A2147E" w:rsidRPr="004F1661" w:rsidRDefault="00DC0533" w:rsidP="00085EC3">
            <w:pPr>
              <w:keepNext/>
              <w:keepLines/>
              <w:jc w:val="right"/>
              <w:rPr>
                <w:sz w:val="16"/>
              </w:rPr>
            </w:pPr>
            <w:r>
              <w:rPr>
                <w:sz w:val="16"/>
              </w:rPr>
              <w:t>SP</w:t>
            </w:r>
            <w:r w:rsidR="002B60BE">
              <w:rPr>
                <w:sz w:val="16"/>
              </w:rPr>
              <w:t>1</w:t>
            </w:r>
            <w:r w:rsidR="002E107C" w:rsidRPr="002E107C">
              <w:rPr>
                <w:sz w:val="16"/>
              </w:rPr>
              <w:t xml:space="preserve"> </w:t>
            </w:r>
            <w:r w:rsidR="002B60BE">
              <w:rPr>
                <w:sz w:val="16"/>
              </w:rPr>
              <w:t>G0</w:t>
            </w:r>
            <w:r w:rsidR="004659EB">
              <w:rPr>
                <w:sz w:val="16"/>
              </w:rPr>
              <w:t>5</w:t>
            </w:r>
            <w:r w:rsidR="00F40785">
              <w:rPr>
                <w:sz w:val="16"/>
              </w:rPr>
              <w:t xml:space="preserve"> </w:t>
            </w:r>
            <w:r w:rsidR="006B4EC6">
              <w:rPr>
                <w:sz w:val="16"/>
              </w:rPr>
              <w:t>C</w:t>
            </w:r>
          </w:p>
        </w:tc>
      </w:tr>
    </w:tbl>
    <w:p w14:paraId="3AE6C4AB" w14:textId="77777777" w:rsidR="00E91D01" w:rsidRPr="004659EB" w:rsidRDefault="00E91D01" w:rsidP="00085EC3">
      <w:pPr>
        <w:keepNext/>
        <w:keepLines/>
        <w:jc w:val="both"/>
        <w:rPr>
          <w:szCs w:val="24"/>
        </w:rPr>
      </w:pPr>
    </w:p>
    <w:p w14:paraId="74E3E46D" w14:textId="77777777" w:rsidR="00691A2D" w:rsidRPr="005F21C8" w:rsidRDefault="00691A2D" w:rsidP="00691A2D">
      <w:pPr>
        <w:widowControl w:val="0"/>
        <w:jc w:val="both"/>
        <w:rPr>
          <w:szCs w:val="24"/>
        </w:rPr>
      </w:pPr>
      <w:r w:rsidRPr="005F21C8">
        <w:rPr>
          <w:szCs w:val="24"/>
        </w:rPr>
        <w:t xml:space="preserve">Revise the </w:t>
      </w:r>
      <w:r w:rsidRPr="005F21C8">
        <w:rPr>
          <w:i/>
          <w:szCs w:val="24"/>
        </w:rPr>
        <w:t>Standard Specifications</w:t>
      </w:r>
      <w:r w:rsidRPr="005F21C8">
        <w:rPr>
          <w:szCs w:val="24"/>
        </w:rPr>
        <w:t xml:space="preserve"> as follows:</w:t>
      </w:r>
    </w:p>
    <w:p w14:paraId="65BF23CE" w14:textId="77777777" w:rsidR="00691A2D" w:rsidRPr="005F21C8" w:rsidRDefault="00691A2D" w:rsidP="00691A2D">
      <w:pPr>
        <w:widowControl w:val="0"/>
        <w:jc w:val="both"/>
        <w:rPr>
          <w:b/>
          <w:szCs w:val="24"/>
        </w:rPr>
      </w:pPr>
    </w:p>
    <w:p w14:paraId="055E1A73" w14:textId="77777777" w:rsidR="008D24D3" w:rsidRPr="005F21C8" w:rsidRDefault="008D24D3" w:rsidP="008D24D3">
      <w:pPr>
        <w:widowControl w:val="0"/>
        <w:jc w:val="both"/>
        <w:rPr>
          <w:szCs w:val="24"/>
        </w:rPr>
      </w:pPr>
      <w:r w:rsidRPr="005F21C8">
        <w:rPr>
          <w:b/>
          <w:szCs w:val="24"/>
        </w:rPr>
        <w:t>Page 1-</w:t>
      </w:r>
      <w:r>
        <w:rPr>
          <w:b/>
          <w:szCs w:val="24"/>
        </w:rPr>
        <w:t>47 and 1-</w:t>
      </w:r>
      <w:r w:rsidRPr="005F21C8">
        <w:rPr>
          <w:b/>
          <w:szCs w:val="24"/>
        </w:rPr>
        <w:t>48, Article 106-1 GENERAL REQUIREMENTS</w:t>
      </w:r>
      <w:r>
        <w:rPr>
          <w:b/>
          <w:szCs w:val="24"/>
        </w:rPr>
        <w:t>, lines 30-47 and 1-49</w:t>
      </w:r>
      <w:r w:rsidRPr="005F21C8">
        <w:rPr>
          <w:b/>
          <w:szCs w:val="24"/>
        </w:rPr>
        <w:t xml:space="preserve">, </w:t>
      </w:r>
      <w:r>
        <w:rPr>
          <w:bCs/>
          <w:szCs w:val="24"/>
        </w:rPr>
        <w:t xml:space="preserve">delete and replace Article 106-1 with </w:t>
      </w:r>
      <w:r w:rsidRPr="005F21C8">
        <w:rPr>
          <w:szCs w:val="24"/>
        </w:rPr>
        <w:t xml:space="preserve">the following:  </w:t>
      </w:r>
    </w:p>
    <w:p w14:paraId="06295D23" w14:textId="77777777" w:rsidR="008D24D3" w:rsidRPr="005F21C8" w:rsidRDefault="008D24D3" w:rsidP="008D24D3">
      <w:pPr>
        <w:widowControl w:val="0"/>
        <w:jc w:val="both"/>
        <w:rPr>
          <w:szCs w:val="24"/>
        </w:rPr>
      </w:pPr>
    </w:p>
    <w:p w14:paraId="7BE6B365" w14:textId="0328B771" w:rsidR="008D24D3" w:rsidRPr="001E69E6" w:rsidRDefault="008D24D3" w:rsidP="008D24D3">
      <w:pPr>
        <w:rPr>
          <w:b/>
          <w:bCs/>
        </w:rPr>
      </w:pPr>
      <w:r w:rsidRPr="001E69E6">
        <w:rPr>
          <w:b/>
          <w:bCs/>
        </w:rPr>
        <w:t xml:space="preserve">106-1 </w:t>
      </w:r>
      <w:r>
        <w:rPr>
          <w:b/>
          <w:bCs/>
        </w:rPr>
        <w:t xml:space="preserve">     </w:t>
      </w:r>
      <w:r w:rsidRPr="001E69E6">
        <w:rPr>
          <w:b/>
          <w:bCs/>
        </w:rPr>
        <w:t>MATERIALS AND MANUFACTURING</w:t>
      </w:r>
    </w:p>
    <w:p w14:paraId="5C7D25EC" w14:textId="77777777" w:rsidR="008D24D3" w:rsidRPr="001E69E6" w:rsidRDefault="008D24D3" w:rsidP="008D24D3">
      <w:pPr>
        <w:spacing w:before="240"/>
        <w:rPr>
          <w:b/>
          <w:bCs/>
        </w:rPr>
      </w:pPr>
      <w:r w:rsidRPr="001E69E6">
        <w:rPr>
          <w:b/>
          <w:bCs/>
        </w:rPr>
        <w:t>(A) General Requirements</w:t>
      </w:r>
    </w:p>
    <w:p w14:paraId="4824AEDE" w14:textId="77777777" w:rsidR="008D24D3" w:rsidRPr="001E69E6" w:rsidRDefault="008D24D3" w:rsidP="008D24D3">
      <w:pPr>
        <w:spacing w:before="240"/>
        <w:ind w:left="360"/>
      </w:pPr>
      <w:r w:rsidRPr="001E69E6">
        <w:t>The Contractor shall furnish materials that conform to all contract requirements, are suitable for their intended use, and are free from defects. All materials used in the work shall meet the requirements of the contract</w:t>
      </w:r>
      <w:r>
        <w:t xml:space="preserve"> and shall be subject to inspection, test, or rejection by the Engineer</w:t>
      </w:r>
      <w:r w:rsidRPr="001E69E6">
        <w:t xml:space="preserve">. </w:t>
      </w:r>
      <w:r>
        <w:t>A</w:t>
      </w:r>
      <w:r w:rsidRPr="001E69E6">
        <w:t xml:space="preserve">ll materials </w:t>
      </w:r>
      <w:r>
        <w:t xml:space="preserve">permanently incorporated into the completed work </w:t>
      </w:r>
      <w:r w:rsidRPr="001E69E6">
        <w:t>shall be new</w:t>
      </w:r>
      <w:r>
        <w:t>, unless otherwise specified in the contract or as approved by the Engineer</w:t>
      </w:r>
      <w:r w:rsidRPr="001E69E6">
        <w:t xml:space="preserve">. </w:t>
      </w:r>
    </w:p>
    <w:p w14:paraId="42555636" w14:textId="77777777" w:rsidR="008D24D3" w:rsidRPr="001E69E6" w:rsidRDefault="008D24D3" w:rsidP="008D24D3">
      <w:pPr>
        <w:spacing w:before="240"/>
        <w:ind w:left="360"/>
      </w:pPr>
      <w:r w:rsidRPr="001E69E6">
        <w:t>The Contractor is responsible for selecting, procuring, and delivering materials of the types and quantities necessary to perform the work and meet contract requirements. Delays in material delivery or quality control do not relieve the Contractor of obligations for schedule or quality.</w:t>
      </w:r>
    </w:p>
    <w:p w14:paraId="5ED92E1B" w14:textId="77777777" w:rsidR="008D24D3" w:rsidRPr="001E69E6" w:rsidRDefault="008D24D3" w:rsidP="008D24D3">
      <w:pPr>
        <w:spacing w:before="240"/>
        <w:ind w:left="360"/>
      </w:pPr>
      <w:r w:rsidRPr="001E69E6">
        <w:t>All materials incorporated into the work shall be approved before use. Approval is based on testing, certification, or both, as required</w:t>
      </w:r>
      <w:r>
        <w:t xml:space="preserve"> by the contract</w:t>
      </w:r>
      <w:r w:rsidRPr="001E69E6">
        <w:t xml:space="preserve">. Department </w:t>
      </w:r>
      <w:r w:rsidRPr="003B6031">
        <w:t>review or acceptance</w:t>
      </w:r>
      <w:r w:rsidRPr="001E69E6">
        <w:t xml:space="preserve"> does not relieve the Contractor of responsibility for material compliance. The Department may inspect, sample, and test materials at any time before, during, or after installation.</w:t>
      </w:r>
    </w:p>
    <w:p w14:paraId="4CCAAF81" w14:textId="77777777" w:rsidR="008D24D3" w:rsidRPr="001E69E6" w:rsidRDefault="008D24D3" w:rsidP="008D24D3">
      <w:pPr>
        <w:spacing w:before="240"/>
        <w:ind w:left="360"/>
      </w:pPr>
      <w:r w:rsidRPr="001E69E6">
        <w:t>Materials shall be handled, stored, and protected to prevent damage, contamination, or deterioration. Materials determined to be defective, damaged, contaminated, or otherwise not in compliance shall be rejected and promptly removed from the project.</w:t>
      </w:r>
    </w:p>
    <w:p w14:paraId="16BBBEB5" w14:textId="77777777" w:rsidR="008D24D3" w:rsidRPr="001E69E6" w:rsidRDefault="008D24D3" w:rsidP="008D24D3">
      <w:pPr>
        <w:spacing w:before="240"/>
        <w:ind w:left="360"/>
      </w:pPr>
      <w:r w:rsidRPr="001E69E6">
        <w:t>To facilitate inspection and testing, the Contractor shall furnish a complete statement of origin for all materials, including certifications or samples when requested. This information shall be submitted to the Materials and Tests Unit</w:t>
      </w:r>
      <w:r>
        <w:t xml:space="preserve"> </w:t>
      </w:r>
      <w:r w:rsidRPr="001E69E6">
        <w:t>when required by the contract or as directed by the Engineer, in advance of fabrication, shipment, or use to allow for appropriate inspection.</w:t>
      </w:r>
    </w:p>
    <w:p w14:paraId="3B8FED3C" w14:textId="77777777" w:rsidR="008D24D3" w:rsidRPr="001E69E6" w:rsidRDefault="008D24D3" w:rsidP="008D24D3">
      <w:pPr>
        <w:spacing w:before="240"/>
        <w:ind w:left="360"/>
      </w:pPr>
      <w:r w:rsidRPr="001E69E6">
        <w:t xml:space="preserve">The Contractor shall </w:t>
      </w:r>
      <w:r>
        <w:t>furnish</w:t>
      </w:r>
      <w:r w:rsidRPr="001E69E6">
        <w:t xml:space="preserve"> Safety Data Sheets (SDS) for all paints and hazardous chemicals proposed for use on the project, in accordance with the North Carolina Hazard Communication Standard</w:t>
      </w:r>
      <w:r>
        <w:t>,</w:t>
      </w:r>
      <w:r w:rsidRPr="0058485A">
        <w:t xml:space="preserve"> 29 CFR 1910.1200</w:t>
      </w:r>
      <w:r>
        <w:t xml:space="preserve"> and </w:t>
      </w:r>
      <w:r w:rsidRPr="0058485A">
        <w:t xml:space="preserve">NCGS § </w:t>
      </w:r>
      <w:r>
        <w:t>95</w:t>
      </w:r>
      <w:r w:rsidRPr="0058485A">
        <w:t>-</w:t>
      </w:r>
      <w:r>
        <w:t>174</w:t>
      </w:r>
      <w:r w:rsidRPr="001E69E6">
        <w:t xml:space="preserve">. </w:t>
      </w:r>
    </w:p>
    <w:p w14:paraId="1B8CFB94" w14:textId="77777777" w:rsidR="008D24D3" w:rsidRPr="001E69E6" w:rsidRDefault="008D24D3" w:rsidP="008D24D3">
      <w:pPr>
        <w:spacing w:before="240"/>
        <w:ind w:left="360"/>
      </w:pPr>
      <w:r w:rsidRPr="001E69E6">
        <w:t xml:space="preserve">The Contractor shall provide access, equipment, </w:t>
      </w:r>
      <w:r>
        <w:t xml:space="preserve">means </w:t>
      </w:r>
      <w:r w:rsidRPr="001E69E6">
        <w:t>and assistance for the verification and calibration of any devices used in testing, measurement, or documentation of materials.</w:t>
      </w:r>
    </w:p>
    <w:p w14:paraId="0A9C1C02" w14:textId="77777777" w:rsidR="008D24D3" w:rsidRPr="001E69E6" w:rsidRDefault="008D24D3" w:rsidP="008D24D3">
      <w:pPr>
        <w:spacing w:before="240"/>
        <w:ind w:left="360"/>
      </w:pPr>
      <w:r w:rsidRPr="001E69E6">
        <w:t xml:space="preserve">If the Contractor proposes to use materials from local deposits not identified in the contract, the Contractor shall be responsible for preliminary sampling, source approval, and production of acceptable material. Preliminary samples shall be furnished at no cost to the </w:t>
      </w:r>
      <w:r w:rsidRPr="001E69E6">
        <w:lastRenderedPageBreak/>
        <w:t>Department. If requested in writing, the Department may perform sampling, with costs to be charged to the Contractor as determined by the Engineer.</w:t>
      </w:r>
    </w:p>
    <w:p w14:paraId="21EB37E5" w14:textId="77777777" w:rsidR="008D24D3" w:rsidRPr="001E69E6" w:rsidRDefault="008D24D3" w:rsidP="008D24D3">
      <w:pPr>
        <w:spacing w:before="240"/>
        <w:ind w:left="360"/>
      </w:pPr>
      <w:r w:rsidRPr="001E69E6">
        <w:t xml:space="preserve">Sampling or testing by the Department does not constitute pre-approval or acceptance of material. The Contractor remains responsible for ensuring quality and uniformity of all materials produced or delivered, including those from local deposits. </w:t>
      </w:r>
      <w:bookmarkStart w:id="0" w:name="_Hlk218004649"/>
      <w:r w:rsidRPr="001E69E6">
        <w:t>The Contractor shall indemnify and hold harmless the Department from any claims, costs, or damages related to the development or use of such sources, including</w:t>
      </w:r>
      <w:r>
        <w:t>, but not limited to,</w:t>
      </w:r>
      <w:r w:rsidRPr="001E69E6">
        <w:t xml:space="preserve"> failure to meet quantity or quality requirements.</w:t>
      </w:r>
    </w:p>
    <w:bookmarkEnd w:id="0"/>
    <w:p w14:paraId="57CC0463" w14:textId="77777777" w:rsidR="008D24D3" w:rsidRPr="001E69E6" w:rsidRDefault="008D24D3" w:rsidP="008D24D3">
      <w:pPr>
        <w:spacing w:before="240"/>
        <w:ind w:left="360"/>
      </w:pPr>
      <w:r w:rsidRPr="001E69E6">
        <w:t xml:space="preserve">Materials covered by </w:t>
      </w:r>
      <w:r>
        <w:t>Suba</w:t>
      </w:r>
      <w:r w:rsidRPr="001E69E6">
        <w:t>rticles 106-1(B) and 106-1(C) shall comply with applicable domestic content requirements, including those for iron and steel, construction materials, and manufactured products.</w:t>
      </w:r>
    </w:p>
    <w:p w14:paraId="48D12CA5" w14:textId="77777777" w:rsidR="008D24D3" w:rsidRPr="001E69E6" w:rsidRDefault="008D24D3" w:rsidP="008D24D3">
      <w:pPr>
        <w:spacing w:before="240"/>
        <w:rPr>
          <w:b/>
          <w:bCs/>
        </w:rPr>
      </w:pPr>
      <w:r w:rsidRPr="001E69E6">
        <w:rPr>
          <w:b/>
          <w:bCs/>
        </w:rPr>
        <w:t>(B) Domestic Material Requirements</w:t>
      </w:r>
    </w:p>
    <w:p w14:paraId="1BAA9840" w14:textId="77777777" w:rsidR="008D24D3" w:rsidRDefault="008D24D3" w:rsidP="008D24D3">
      <w:pPr>
        <w:spacing w:before="240"/>
        <w:ind w:left="360"/>
      </w:pPr>
      <w:r w:rsidRPr="001E69E6">
        <w:t xml:space="preserve">Domestic material requirements apply to iron and steel products </w:t>
      </w:r>
      <w:r>
        <w:t>permanently incorporated into any</w:t>
      </w:r>
      <w:r w:rsidRPr="001E69E6">
        <w:t xml:space="preserve"> project</w:t>
      </w:r>
      <w:r>
        <w:t xml:space="preserve"> in accordance with </w:t>
      </w:r>
      <w:r w:rsidRPr="002D4F84">
        <w:t xml:space="preserve">23 U.S.C. </w:t>
      </w:r>
      <w:bookmarkStart w:id="1" w:name="_Hlk219212039"/>
      <w:r w:rsidRPr="002D4F84">
        <w:t>§</w:t>
      </w:r>
      <w:bookmarkEnd w:id="1"/>
      <w:r w:rsidRPr="002D4F84">
        <w:t xml:space="preserve"> 313</w:t>
      </w:r>
      <w:r>
        <w:t xml:space="preserve">, </w:t>
      </w:r>
      <w:r w:rsidRPr="00436D44">
        <w:t>23 CFR 635.410</w:t>
      </w:r>
      <w:r>
        <w:t xml:space="preserve">, </w:t>
      </w:r>
      <w:bookmarkStart w:id="2" w:name="_Hlk219203407"/>
      <w:r>
        <w:t xml:space="preserve">and </w:t>
      </w:r>
      <w:r w:rsidRPr="00A86463">
        <w:t>NCGS</w:t>
      </w:r>
      <w:r>
        <w:t xml:space="preserve"> </w:t>
      </w:r>
      <w:r w:rsidRPr="00A86463">
        <w:t xml:space="preserve">§ </w:t>
      </w:r>
      <w:bookmarkEnd w:id="2"/>
      <w:r w:rsidRPr="00A86463">
        <w:t>136-28.7</w:t>
      </w:r>
      <w:r w:rsidRPr="001E69E6">
        <w:t xml:space="preserve">. Construction materials and manufactured products </w:t>
      </w:r>
      <w:r>
        <w:t>permanently incorporated into the work are</w:t>
      </w:r>
      <w:r w:rsidRPr="007F145A">
        <w:t xml:space="preserve"> subject to</w:t>
      </w:r>
      <w:r w:rsidRPr="001E69E6">
        <w:t xml:space="preserve"> domestic</w:t>
      </w:r>
      <w:r>
        <w:t>-</w:t>
      </w:r>
      <w:r w:rsidRPr="001E69E6">
        <w:t>content requirements only on Federal-aid projects</w:t>
      </w:r>
      <w:r>
        <w:t xml:space="preserve">, in accordance with </w:t>
      </w:r>
      <w:r w:rsidRPr="002D4F84">
        <w:t>23 U.S.C. § 313</w:t>
      </w:r>
      <w:r>
        <w:t>,</w:t>
      </w:r>
      <w:r w:rsidRPr="002D4F84">
        <w:t xml:space="preserve"> </w:t>
      </w:r>
      <w:r>
        <w:t>Build America Buy America Act (</w:t>
      </w:r>
      <w:r w:rsidRPr="009F0369">
        <w:t>IIJA § 70914</w:t>
      </w:r>
      <w:r>
        <w:t xml:space="preserve">), </w:t>
      </w:r>
      <w:r w:rsidRPr="00A86463">
        <w:t>2 CFR 18</w:t>
      </w:r>
      <w:r>
        <w:t xml:space="preserve">4, </w:t>
      </w:r>
      <w:bookmarkStart w:id="3" w:name="_Hlk219122199"/>
      <w:r w:rsidRPr="001823D7">
        <w:t>and as implemented for the Federal-aid highway program through</w:t>
      </w:r>
      <w:r>
        <w:t xml:space="preserve"> </w:t>
      </w:r>
      <w:r w:rsidRPr="00346886">
        <w:t>23 CFR Part 635</w:t>
      </w:r>
      <w:r>
        <w:t>.410.</w:t>
      </w:r>
      <w:bookmarkEnd w:id="3"/>
      <w:r w:rsidRPr="001E69E6">
        <w:t xml:space="preserve"> </w:t>
      </w:r>
    </w:p>
    <w:p w14:paraId="7A9F8EB6" w14:textId="77777777" w:rsidR="008D24D3" w:rsidRPr="001E69E6" w:rsidRDefault="008D24D3" w:rsidP="008D24D3">
      <w:pPr>
        <w:spacing w:before="240"/>
        <w:ind w:left="360"/>
      </w:pPr>
      <w:r w:rsidRPr="001E69E6">
        <w:t xml:space="preserve">All iron or steel products, construction materials, and manufactured products subject to domestic content requirements shall be of domestic origin and meet the applicable requirements </w:t>
      </w:r>
      <w:r>
        <w:t xml:space="preserve">of the contract </w:t>
      </w:r>
      <w:r w:rsidRPr="001E69E6">
        <w:t>based on the project’s funding source.</w:t>
      </w:r>
    </w:p>
    <w:p w14:paraId="5632D68D" w14:textId="77777777" w:rsidR="008D24D3" w:rsidRPr="001E69E6" w:rsidRDefault="008D24D3" w:rsidP="008D24D3">
      <w:pPr>
        <w:spacing w:before="240"/>
        <w:ind w:left="360"/>
      </w:pPr>
      <w:r w:rsidRPr="001E69E6">
        <w:t>Before any materials are delivered to the project, the Contractor shall submit a notarized letter acknowledging their understanding of the domestic material requirements for the specific contract. This acknowledgment is a contract-level affirmation that the Contractor is responsible for ensuring that no iron or steel product, construction material, or manufactured product subject to domestic content requirements is permanently incorporated into the work without the required certification. This acknowledgment does not substitute for product-level certifications</w:t>
      </w:r>
      <w:r>
        <w:t xml:space="preserve"> from the manufacturer or supplier</w:t>
      </w:r>
      <w:r w:rsidRPr="001E69E6">
        <w:t>. The Department reserves the right to deny or recover payment for any material incorporated into the work without valid documentation.</w:t>
      </w:r>
    </w:p>
    <w:p w14:paraId="775DB191" w14:textId="77777777" w:rsidR="008D24D3" w:rsidRPr="001E69E6" w:rsidRDefault="008D24D3" w:rsidP="008D24D3">
      <w:pPr>
        <w:spacing w:before="240"/>
        <w:ind w:left="360"/>
      </w:pPr>
      <w:r w:rsidRPr="001E69E6">
        <w:t>For iron and steel, all manufacturing processes must occur in the United States.</w:t>
      </w:r>
    </w:p>
    <w:p w14:paraId="6071F96A" w14:textId="77777777" w:rsidR="008D24D3" w:rsidRPr="001E69E6" w:rsidRDefault="008D24D3" w:rsidP="008D24D3">
      <w:pPr>
        <w:spacing w:before="240"/>
        <w:ind w:left="360"/>
      </w:pPr>
      <w:r w:rsidRPr="001E69E6">
        <w:t>For construction materials, all manufacturing processes must occur in the United States.</w:t>
      </w:r>
    </w:p>
    <w:p w14:paraId="0F7A4D86" w14:textId="48EB1E4D" w:rsidR="008D24D3" w:rsidRPr="001E69E6" w:rsidRDefault="008D24D3" w:rsidP="008D24D3">
      <w:pPr>
        <w:spacing w:before="240"/>
        <w:ind w:left="360"/>
      </w:pPr>
      <w:r w:rsidRPr="001E69E6">
        <w:t>For manufactured products, final assembly must occur in the United States</w:t>
      </w:r>
      <w:r w:rsidR="006B4EC6" w:rsidRPr="00166778">
        <w:t>, and the cost of the components of the manufactured product that are mined, produced, or manufactured in the United States must be greater than 55 percent of the total cost of all components of the manufactured product</w:t>
      </w:r>
      <w:r w:rsidRPr="001E69E6">
        <w:t>.</w:t>
      </w:r>
    </w:p>
    <w:p w14:paraId="61FCC460" w14:textId="77777777" w:rsidR="008D24D3" w:rsidRPr="001E69E6" w:rsidRDefault="008D24D3" w:rsidP="008D24D3">
      <w:pPr>
        <w:spacing w:before="240"/>
        <w:ind w:left="360"/>
      </w:pPr>
      <w:r w:rsidRPr="001E69E6">
        <w:t>Before any iron or steel product, construction material, or manufactured product subject to domestic content requirements is eligible for payment, the Contractor shall submit a certification from the manufacturer or supplier confirming compliance</w:t>
      </w:r>
      <w:r>
        <w:t xml:space="preserve"> with the applicable </w:t>
      </w:r>
      <w:r>
        <w:lastRenderedPageBreak/>
        <w:t>regulations</w:t>
      </w:r>
      <w:r w:rsidRPr="001E69E6">
        <w:t>. A separate certification is required for each shipment or delivery and must clearly identify the items covered, linked to the associated bill of lading, invoice, or packing list.</w:t>
      </w:r>
    </w:p>
    <w:p w14:paraId="390687A5" w14:textId="77777777" w:rsidR="008D24D3" w:rsidRPr="001E69E6" w:rsidRDefault="008D24D3" w:rsidP="008D24D3">
      <w:pPr>
        <w:spacing w:before="240"/>
        <w:ind w:left="360"/>
      </w:pPr>
      <w:r w:rsidRPr="001E69E6">
        <w:t xml:space="preserve">The Contractor shall ensure that all required certifications </w:t>
      </w:r>
      <w:r>
        <w:t xml:space="preserve">from the manufacturer or supplier </w:t>
      </w:r>
      <w:r w:rsidRPr="001E69E6">
        <w:t xml:space="preserve">are obtained and submitted to the Engineer prior to payment for any iron or steel product, construction material, or manufactured product subject to domestic content requirements. The Engineer will retain documentation in accordance with Department procedures. Compliance with domestic material requirements is the responsibility of the </w:t>
      </w:r>
      <w:r w:rsidRPr="00C724CD">
        <w:t>Contractor, based on certifications and documentation provided by the manufacturer or supplier</w:t>
      </w:r>
      <w:r w:rsidRPr="001E69E6">
        <w:t>.</w:t>
      </w:r>
    </w:p>
    <w:p w14:paraId="4A8E8694" w14:textId="77777777" w:rsidR="008D24D3" w:rsidRPr="001E69E6" w:rsidRDefault="008D24D3" w:rsidP="008D24D3">
      <w:pPr>
        <w:spacing w:before="240"/>
        <w:rPr>
          <w:b/>
          <w:bCs/>
        </w:rPr>
      </w:pPr>
      <w:r w:rsidRPr="001E69E6">
        <w:rPr>
          <w:b/>
          <w:bCs/>
        </w:rPr>
        <w:t>(C) Material Category Requirements</w:t>
      </w:r>
    </w:p>
    <w:p w14:paraId="58CDBA19" w14:textId="77777777" w:rsidR="008D24D3" w:rsidRPr="001E69E6" w:rsidRDefault="008D24D3" w:rsidP="008D24D3">
      <w:pPr>
        <w:spacing w:before="240"/>
        <w:ind w:left="360"/>
        <w:rPr>
          <w:b/>
          <w:bCs/>
        </w:rPr>
      </w:pPr>
      <w:r w:rsidRPr="001E69E6">
        <w:rPr>
          <w:b/>
          <w:bCs/>
        </w:rPr>
        <w:t>(1) Iron and Steel Products</w:t>
      </w:r>
    </w:p>
    <w:p w14:paraId="67694538" w14:textId="77777777" w:rsidR="008D24D3" w:rsidRPr="001E69E6" w:rsidRDefault="008D24D3" w:rsidP="008D24D3">
      <w:pPr>
        <w:spacing w:before="240"/>
        <w:ind w:left="720"/>
      </w:pPr>
      <w:r w:rsidRPr="001E69E6">
        <w:t>Items are considered iron or steel products if they consist wholly or predominantly of iron or steel. Predominantly means the cost of iron or steel components exceeds 50% of the total cost of all product components.</w:t>
      </w:r>
    </w:p>
    <w:p w14:paraId="4C916403" w14:textId="77777777" w:rsidR="008D24D3" w:rsidRPr="001E69E6" w:rsidRDefault="008D24D3" w:rsidP="008D24D3">
      <w:pPr>
        <w:spacing w:before="240"/>
        <w:ind w:left="720"/>
      </w:pPr>
      <w:r w:rsidRPr="001E69E6">
        <w:t xml:space="preserve">All steel and iron products that are permanently incorporated into the work shall be produced in the United States. This includes any such item that is melted, cast, </w:t>
      </w:r>
      <w:r>
        <w:t xml:space="preserve">rolled, </w:t>
      </w:r>
      <w:r w:rsidRPr="001E69E6">
        <w:t>formed, shaped, drawn, extruded, forged, fabricated,</w:t>
      </w:r>
      <w:r>
        <w:t xml:space="preserve"> finished</w:t>
      </w:r>
      <w:r w:rsidRPr="001E69E6">
        <w:t xml:space="preserve"> or otherwise processed in the manufacture of the product. Coatings applied to iron and steel products shall also be applied in the United States.</w:t>
      </w:r>
    </w:p>
    <w:p w14:paraId="00B6ABCC" w14:textId="77777777" w:rsidR="008D24D3" w:rsidRPr="001E69E6" w:rsidRDefault="008D24D3" w:rsidP="008D24D3">
      <w:pPr>
        <w:spacing w:before="240"/>
        <w:ind w:left="720"/>
      </w:pPr>
      <w:r w:rsidRPr="001E69E6">
        <w:t>A minimal amount of foreign iron or steel products may be permitted provided the total value of such foreign material, as delivered to the project, does not exceed 0.1% of the total contract cost or $2,500, whichever is greater. Documentation establishing the value of the foreign material shall be submitted when requested. This allowance is intended only for incidental quantities that may arise despite good-faith compliance efforts and may not be used to intentionally procure foreign iron or steel.</w:t>
      </w:r>
    </w:p>
    <w:p w14:paraId="7AE96961" w14:textId="77777777" w:rsidR="008D24D3" w:rsidRPr="001E69E6" w:rsidRDefault="008D24D3" w:rsidP="008D24D3">
      <w:pPr>
        <w:spacing w:before="240"/>
        <w:ind w:left="720"/>
      </w:pPr>
      <w:r w:rsidRPr="001E69E6">
        <w:t>Domestically produced high-strength fasteners are required, and foreign-produced high-strength fasteners are not permitted under any circumstance.</w:t>
      </w:r>
    </w:p>
    <w:p w14:paraId="677C97E3" w14:textId="77777777" w:rsidR="008D24D3" w:rsidRDefault="008D24D3" w:rsidP="008D24D3">
      <w:pPr>
        <w:spacing w:before="240"/>
        <w:ind w:left="720"/>
      </w:pPr>
      <w:r w:rsidRPr="001E69E6">
        <w:t>Raw materials such as pig iron, processed pelletized iron ore, and reduced iron ore may be sourced internationally; however, all manufacturing processes to produce the final product, including coatings, must occur within the United States.</w:t>
      </w:r>
    </w:p>
    <w:p w14:paraId="31DBC931" w14:textId="77777777" w:rsidR="008D24D3" w:rsidRPr="001E69E6" w:rsidRDefault="008D24D3" w:rsidP="008D24D3">
      <w:pPr>
        <w:spacing w:before="240"/>
        <w:ind w:left="360"/>
        <w:rPr>
          <w:b/>
          <w:bCs/>
        </w:rPr>
      </w:pPr>
      <w:r w:rsidRPr="001E69E6">
        <w:rPr>
          <w:b/>
          <w:bCs/>
        </w:rPr>
        <w:t>(2) Construction Materials</w:t>
      </w:r>
    </w:p>
    <w:p w14:paraId="57C21B97" w14:textId="77777777" w:rsidR="008D24D3" w:rsidRPr="001E69E6" w:rsidRDefault="008D24D3" w:rsidP="008D24D3">
      <w:pPr>
        <w:spacing w:before="240"/>
        <w:ind w:left="720"/>
      </w:pPr>
      <w:r w:rsidRPr="001E69E6">
        <w:t>Construction materials shall consist of a single, listed material type permanently incorporated into the work</w:t>
      </w:r>
      <w:r>
        <w:t xml:space="preserve"> as defined in </w:t>
      </w:r>
      <w:r w:rsidRPr="00E67B7C">
        <w:t>2 CFR 184.3</w:t>
      </w:r>
      <w:r w:rsidRPr="001E69E6">
        <w:t>. The following are classified as construction materials:</w:t>
      </w:r>
    </w:p>
    <w:p w14:paraId="4CA951F0" w14:textId="77777777" w:rsidR="008D24D3" w:rsidRPr="00A16794" w:rsidRDefault="008D24D3" w:rsidP="008D24D3">
      <w:pPr>
        <w:pStyle w:val="ListParagraph"/>
        <w:numPr>
          <w:ilvl w:val="0"/>
          <w:numId w:val="7"/>
        </w:numPr>
        <w:spacing w:before="240"/>
      </w:pPr>
      <w:r w:rsidRPr="00A16794">
        <w:t>Non-ferrous metals</w:t>
      </w:r>
      <w:r>
        <w:t xml:space="preserve"> </w:t>
      </w:r>
      <w:r w:rsidRPr="00084A91">
        <w:t>(such as aluminum, copper, and zinc</w:t>
      </w:r>
      <w:proofErr w:type="gramStart"/>
      <w:r w:rsidRPr="00084A91">
        <w:t>)</w:t>
      </w:r>
      <w:r>
        <w:t>;</w:t>
      </w:r>
      <w:proofErr w:type="gramEnd"/>
    </w:p>
    <w:p w14:paraId="16B9351D" w14:textId="77777777" w:rsidR="008D24D3" w:rsidRPr="00A16794" w:rsidRDefault="008D24D3" w:rsidP="008D24D3">
      <w:pPr>
        <w:pStyle w:val="ListParagraph"/>
        <w:numPr>
          <w:ilvl w:val="0"/>
          <w:numId w:val="7"/>
        </w:numPr>
        <w:spacing w:before="240"/>
      </w:pPr>
      <w:r w:rsidRPr="00A16794">
        <w:t>Plastic and polymer-based products</w:t>
      </w:r>
      <w:r>
        <w:t xml:space="preserve"> </w:t>
      </w:r>
      <w:bookmarkStart w:id="4" w:name="_Hlk219121689"/>
      <w:r w:rsidRPr="005159F5">
        <w:t>(including polyvinylchloride, composite building materials, and polymers used in fiber optic cables</w:t>
      </w:r>
      <w:proofErr w:type="gramStart"/>
      <w:r w:rsidRPr="005159F5">
        <w:t>)</w:t>
      </w:r>
      <w:bookmarkEnd w:id="4"/>
      <w:r>
        <w:t>;</w:t>
      </w:r>
      <w:proofErr w:type="gramEnd"/>
    </w:p>
    <w:p w14:paraId="5A37539A" w14:textId="77777777" w:rsidR="008D24D3" w:rsidRPr="00A16794" w:rsidRDefault="008D24D3" w:rsidP="008D24D3">
      <w:pPr>
        <w:pStyle w:val="ListParagraph"/>
        <w:numPr>
          <w:ilvl w:val="0"/>
          <w:numId w:val="7"/>
        </w:numPr>
        <w:spacing w:before="240"/>
      </w:pPr>
      <w:r w:rsidRPr="00A16794">
        <w:lastRenderedPageBreak/>
        <w:t xml:space="preserve">Glass </w:t>
      </w:r>
      <w:bookmarkStart w:id="5" w:name="_Hlk219290664"/>
      <w:r w:rsidRPr="00A16794">
        <w:t>(including optical glass</w:t>
      </w:r>
      <w:proofErr w:type="gramStart"/>
      <w:r w:rsidRPr="00A16794">
        <w:t>)</w:t>
      </w:r>
      <w:bookmarkEnd w:id="5"/>
      <w:r>
        <w:t>;</w:t>
      </w:r>
      <w:proofErr w:type="gramEnd"/>
    </w:p>
    <w:p w14:paraId="178F3262" w14:textId="77777777" w:rsidR="008D24D3" w:rsidRPr="00A16794" w:rsidRDefault="008D24D3" w:rsidP="008D24D3">
      <w:pPr>
        <w:pStyle w:val="ListParagraph"/>
        <w:numPr>
          <w:ilvl w:val="0"/>
          <w:numId w:val="7"/>
        </w:numPr>
        <w:spacing w:before="240"/>
      </w:pPr>
      <w:r w:rsidRPr="00A16794">
        <w:t xml:space="preserve">Fiber optic cable </w:t>
      </w:r>
      <w:bookmarkStart w:id="6" w:name="_Hlk219290720"/>
      <w:r w:rsidRPr="00A16794">
        <w:t>(including drop cable</w:t>
      </w:r>
      <w:proofErr w:type="gramStart"/>
      <w:r w:rsidRPr="00A16794">
        <w:t>)</w:t>
      </w:r>
      <w:bookmarkEnd w:id="6"/>
      <w:r>
        <w:t>;</w:t>
      </w:r>
      <w:proofErr w:type="gramEnd"/>
    </w:p>
    <w:p w14:paraId="6B8CA19B" w14:textId="77777777" w:rsidR="008D24D3" w:rsidRPr="00A16794" w:rsidRDefault="008D24D3" w:rsidP="008D24D3">
      <w:pPr>
        <w:pStyle w:val="ListParagraph"/>
        <w:numPr>
          <w:ilvl w:val="0"/>
          <w:numId w:val="7"/>
        </w:numPr>
        <w:spacing w:before="240"/>
      </w:pPr>
      <w:r w:rsidRPr="00A16794">
        <w:t xml:space="preserve">Optical </w:t>
      </w:r>
      <w:proofErr w:type="gramStart"/>
      <w:r w:rsidRPr="00A16794">
        <w:t>fiber</w:t>
      </w:r>
      <w:r>
        <w:t>;</w:t>
      </w:r>
      <w:proofErr w:type="gramEnd"/>
    </w:p>
    <w:p w14:paraId="0D20A681" w14:textId="77777777" w:rsidR="008D24D3" w:rsidRPr="00A16794" w:rsidRDefault="008D24D3" w:rsidP="008D24D3">
      <w:pPr>
        <w:pStyle w:val="ListParagraph"/>
        <w:numPr>
          <w:ilvl w:val="0"/>
          <w:numId w:val="7"/>
        </w:numPr>
        <w:spacing w:before="240"/>
      </w:pPr>
      <w:proofErr w:type="gramStart"/>
      <w:r w:rsidRPr="00A16794">
        <w:t>Lumber</w:t>
      </w:r>
      <w:r>
        <w:t>;</w:t>
      </w:r>
      <w:proofErr w:type="gramEnd"/>
    </w:p>
    <w:p w14:paraId="38A06B9F" w14:textId="77777777" w:rsidR="008D24D3" w:rsidRPr="00A16794" w:rsidRDefault="008D24D3" w:rsidP="008D24D3">
      <w:pPr>
        <w:pStyle w:val="ListParagraph"/>
        <w:numPr>
          <w:ilvl w:val="0"/>
          <w:numId w:val="7"/>
        </w:numPr>
        <w:spacing w:before="240"/>
      </w:pPr>
      <w:r w:rsidRPr="00A16794">
        <w:t xml:space="preserve">Engineered </w:t>
      </w:r>
      <w:proofErr w:type="gramStart"/>
      <w:r w:rsidRPr="00A16794">
        <w:t>wood</w:t>
      </w:r>
      <w:r>
        <w:t>;</w:t>
      </w:r>
      <w:proofErr w:type="gramEnd"/>
    </w:p>
    <w:p w14:paraId="7D4D748C" w14:textId="77777777" w:rsidR="008D24D3" w:rsidRPr="00A16794" w:rsidRDefault="008D24D3" w:rsidP="008D24D3">
      <w:pPr>
        <w:pStyle w:val="ListParagraph"/>
        <w:numPr>
          <w:ilvl w:val="0"/>
          <w:numId w:val="7"/>
        </w:numPr>
        <w:spacing w:before="240"/>
      </w:pPr>
      <w:r w:rsidRPr="00A16794">
        <w:t>Drywall</w:t>
      </w:r>
    </w:p>
    <w:p w14:paraId="1F7D0B22" w14:textId="77777777" w:rsidR="008D24D3" w:rsidRPr="001E69E6" w:rsidRDefault="008D24D3" w:rsidP="008D24D3">
      <w:pPr>
        <w:spacing w:before="240"/>
        <w:ind w:left="720"/>
      </w:pPr>
      <w:r w:rsidRPr="001E69E6">
        <w:t>For construction materials, all manufacturing processes must occur in the United States. If a construction material is combined with other materials, components, or features to form a product with new properties or functions, it shall be classified as a manufactured product.</w:t>
      </w:r>
    </w:p>
    <w:p w14:paraId="1B20DCF6" w14:textId="77777777" w:rsidR="008D24D3" w:rsidRPr="001E69E6" w:rsidRDefault="008D24D3" w:rsidP="008D24D3">
      <w:pPr>
        <w:spacing w:before="240"/>
        <w:ind w:left="720"/>
      </w:pPr>
      <w:bookmarkStart w:id="7" w:name="_Hlk219290895"/>
      <w:r w:rsidRPr="001E69E6">
        <w:t>Minor additions such as binding agents, dyes, or adhesives that do not materially alter the item’s properties do not affect classification.</w:t>
      </w:r>
    </w:p>
    <w:bookmarkEnd w:id="7"/>
    <w:p w14:paraId="56C99964" w14:textId="77777777" w:rsidR="008D24D3" w:rsidRPr="001E69E6" w:rsidRDefault="008D24D3" w:rsidP="008D24D3">
      <w:pPr>
        <w:spacing w:before="240"/>
        <w:rPr>
          <w:b/>
          <w:bCs/>
        </w:rPr>
      </w:pPr>
      <w:r w:rsidRPr="001E69E6">
        <w:rPr>
          <w:b/>
          <w:bCs/>
        </w:rPr>
        <w:t>(3) Manufactured Products</w:t>
      </w:r>
    </w:p>
    <w:p w14:paraId="0F0E6ADF" w14:textId="77777777" w:rsidR="008D24D3" w:rsidRPr="001E69E6" w:rsidRDefault="008D24D3" w:rsidP="008D24D3">
      <w:pPr>
        <w:spacing w:before="240"/>
        <w:ind w:left="360"/>
      </w:pPr>
      <w:r w:rsidRPr="001E69E6">
        <w:t>Manufactured products are articles, materials, or supplies that are made by combining one or more materials to create a product with new or different properties, functions, or uses. This includes items that incorporate multiple components, materials, or assemblies and cannot be classified as a single listed construction material.</w:t>
      </w:r>
    </w:p>
    <w:p w14:paraId="3726A2D0" w14:textId="6206A044" w:rsidR="008D24D3" w:rsidRPr="001E69E6" w:rsidRDefault="008D24D3" w:rsidP="008D24D3">
      <w:pPr>
        <w:spacing w:before="240"/>
        <w:ind w:left="360"/>
      </w:pPr>
      <w:r w:rsidRPr="001E69E6">
        <w:t>Final assembly of all manufactured products must occur in the United States</w:t>
      </w:r>
      <w:r w:rsidR="006B4EC6" w:rsidRPr="00166778">
        <w:t>, and the cost of the components of the manufactured product that are mined, produced, or manufactured in the United States must be greater than 55 percent of the total cost of all components of the manufactured product</w:t>
      </w:r>
      <w:r w:rsidRPr="001E69E6">
        <w:t>. Certification must address the product as a whole, including all incorporated components.</w:t>
      </w:r>
    </w:p>
    <w:p w14:paraId="6040C912" w14:textId="77777777" w:rsidR="008D24D3" w:rsidRPr="001E69E6" w:rsidRDefault="008D24D3" w:rsidP="008D24D3">
      <w:pPr>
        <w:spacing w:before="240"/>
        <w:ind w:left="360"/>
      </w:pPr>
      <w:r w:rsidRPr="001E69E6">
        <w:t>Items that meet the definition of construction materials or iron and steel products shall not be reclassified as manufactured products.</w:t>
      </w:r>
    </w:p>
    <w:p w14:paraId="306EAAA1" w14:textId="77777777" w:rsidR="008D24D3" w:rsidRDefault="008D24D3" w:rsidP="008D24D3">
      <w:pPr>
        <w:spacing w:before="240"/>
      </w:pPr>
      <w:r w:rsidRPr="001E69E6">
        <w:rPr>
          <w:b/>
          <w:bCs/>
        </w:rPr>
        <w:t xml:space="preserve">(4) </w:t>
      </w:r>
      <w:r w:rsidRPr="007962AB">
        <w:rPr>
          <w:b/>
          <w:bCs/>
        </w:rPr>
        <w:t>Materials Not Subject to Domestic Content Requirements</w:t>
      </w:r>
      <w:r w:rsidRPr="001E69E6">
        <w:br/>
      </w:r>
    </w:p>
    <w:p w14:paraId="2094BC54" w14:textId="77777777" w:rsidR="008D24D3" w:rsidRPr="001E69E6" w:rsidRDefault="008D24D3" w:rsidP="008D24D3">
      <w:pPr>
        <w:ind w:left="360"/>
      </w:pPr>
      <w:r w:rsidRPr="001E69E6">
        <w:t xml:space="preserve">The following materials are </w:t>
      </w:r>
      <w:r w:rsidRPr="00446572">
        <w:t>not subject to</w:t>
      </w:r>
      <w:r w:rsidRPr="001E69E6">
        <w:t xml:space="preserve"> domestic content requirements </w:t>
      </w:r>
      <w:r w:rsidRPr="007D32CD">
        <w:t>and do not require certification, as identified below</w:t>
      </w:r>
      <w:r w:rsidRPr="001E69E6">
        <w:t>:</w:t>
      </w:r>
    </w:p>
    <w:p w14:paraId="0509B431" w14:textId="77777777" w:rsidR="008D24D3" w:rsidRDefault="008D24D3" w:rsidP="008D24D3">
      <w:pPr>
        <w:numPr>
          <w:ilvl w:val="0"/>
          <w:numId w:val="8"/>
        </w:numPr>
        <w:spacing w:before="240"/>
      </w:pPr>
      <w:r w:rsidRPr="001B0A26">
        <w:t>Materials Excluded by Federal Statute or Regulation</w:t>
      </w:r>
    </w:p>
    <w:p w14:paraId="60526ED3" w14:textId="77777777" w:rsidR="008D24D3" w:rsidRDefault="008D24D3" w:rsidP="008D24D3">
      <w:pPr>
        <w:spacing w:before="240"/>
        <w:ind w:left="1080"/>
      </w:pPr>
      <w:r w:rsidRPr="004F1101">
        <w:t>The following materials are excluded from domestic content requirements under applicable Federal law or regulation:</w:t>
      </w:r>
    </w:p>
    <w:p w14:paraId="5572893D" w14:textId="77777777" w:rsidR="008D24D3" w:rsidRPr="009B4FEC" w:rsidRDefault="008D24D3" w:rsidP="008D24D3">
      <w:pPr>
        <w:pStyle w:val="ListParagraph"/>
        <w:numPr>
          <w:ilvl w:val="0"/>
          <w:numId w:val="9"/>
        </w:numPr>
        <w:spacing w:before="240"/>
      </w:pPr>
      <w:r>
        <w:t xml:space="preserve"> </w:t>
      </w:r>
      <w:r w:rsidRPr="009B4FEC">
        <w:t>Cement and cementitious materials</w:t>
      </w:r>
    </w:p>
    <w:p w14:paraId="2607DB47" w14:textId="77777777" w:rsidR="008D24D3" w:rsidRPr="009B4FEC" w:rsidRDefault="008D24D3" w:rsidP="008D24D3">
      <w:pPr>
        <w:pStyle w:val="ListParagraph"/>
        <w:numPr>
          <w:ilvl w:val="0"/>
          <w:numId w:val="9"/>
        </w:numPr>
        <w:spacing w:before="240"/>
      </w:pPr>
      <w:r>
        <w:t xml:space="preserve"> </w:t>
      </w:r>
      <w:r w:rsidRPr="009B4FEC">
        <w:t>Aggregates such as stone, sand, or gravel</w:t>
      </w:r>
    </w:p>
    <w:p w14:paraId="1673FEC6" w14:textId="77777777" w:rsidR="008D24D3" w:rsidRPr="009B4FEC" w:rsidRDefault="008D24D3" w:rsidP="008D24D3">
      <w:pPr>
        <w:pStyle w:val="ListParagraph"/>
        <w:numPr>
          <w:ilvl w:val="0"/>
          <w:numId w:val="9"/>
        </w:numPr>
        <w:spacing w:before="240"/>
      </w:pPr>
      <w:r>
        <w:t xml:space="preserve"> </w:t>
      </w:r>
      <w:r w:rsidRPr="009B4FEC">
        <w:t>Aggregate binding agents or additives</w:t>
      </w:r>
    </w:p>
    <w:p w14:paraId="7B01AC72" w14:textId="77777777" w:rsidR="008D24D3" w:rsidRDefault="008D24D3" w:rsidP="008D24D3">
      <w:pPr>
        <w:numPr>
          <w:ilvl w:val="0"/>
          <w:numId w:val="8"/>
        </w:numPr>
        <w:spacing w:before="240"/>
      </w:pPr>
      <w:bookmarkStart w:id="8" w:name="_Hlk219121488"/>
      <w:r w:rsidRPr="004F1101">
        <w:t>Materials Not Permanently Incorporated into the Work</w:t>
      </w:r>
    </w:p>
    <w:p w14:paraId="0A418C4D" w14:textId="77777777" w:rsidR="008D24D3" w:rsidRPr="00974F56" w:rsidRDefault="008D24D3" w:rsidP="008D24D3">
      <w:pPr>
        <w:spacing w:before="240"/>
        <w:ind w:left="1080"/>
      </w:pPr>
      <w:r w:rsidRPr="00C21359">
        <w:lastRenderedPageBreak/>
        <w:t>Materials that are not permanently incorporated into the completed project are not subject to domestic content requirements. Materials are not permanently incorporated when they are used solely to facilitate construction activities and do not perform an ongoing structural, operational, or functional role after construction is complete.</w:t>
      </w:r>
      <w:r w:rsidRPr="00B75767">
        <w:t xml:space="preserve"> Determinations regarding whether </w:t>
      </w:r>
      <w:proofErr w:type="gramStart"/>
      <w:r w:rsidRPr="00B75767">
        <w:t>a material</w:t>
      </w:r>
      <w:proofErr w:type="gramEnd"/>
      <w:r w:rsidRPr="00B75767">
        <w:t xml:space="preserve"> is permanently incorporated will be made by the Engineer.</w:t>
      </w:r>
    </w:p>
    <w:bookmarkEnd w:id="8"/>
    <w:p w14:paraId="0FB01541" w14:textId="77777777" w:rsidR="008D24D3" w:rsidRDefault="008D24D3" w:rsidP="008D24D3">
      <w:pPr>
        <w:spacing w:before="240"/>
        <w:rPr>
          <w:b/>
          <w:bCs/>
        </w:rPr>
      </w:pPr>
      <w:r>
        <w:rPr>
          <w:b/>
          <w:bCs/>
        </w:rPr>
        <w:t xml:space="preserve">(D) </w:t>
      </w:r>
      <w:r w:rsidRPr="001E69E6">
        <w:rPr>
          <w:b/>
          <w:bCs/>
        </w:rPr>
        <w:t>Classification and Clarification of Materials</w:t>
      </w:r>
    </w:p>
    <w:p w14:paraId="712C29B0" w14:textId="77777777" w:rsidR="008D24D3" w:rsidRPr="001E69E6" w:rsidRDefault="008D24D3" w:rsidP="008D24D3">
      <w:pPr>
        <w:rPr>
          <w:b/>
          <w:bCs/>
        </w:rPr>
      </w:pPr>
    </w:p>
    <w:p w14:paraId="4648454A" w14:textId="77777777" w:rsidR="008D24D3" w:rsidRDefault="008D24D3" w:rsidP="008D24D3">
      <w:pPr>
        <w:ind w:left="360"/>
      </w:pPr>
      <w:r w:rsidRPr="001E69E6">
        <w:t xml:space="preserve">All items subject to domestic content requirements shall be classified as either an iron or steel product, construction material, manufactured product, or </w:t>
      </w:r>
      <w:r w:rsidRPr="00450105">
        <w:t>a material not subject to domestic content requirements</w:t>
      </w:r>
      <w:r w:rsidRPr="001E69E6">
        <w:t xml:space="preserve"> based on their final form as delivered to the project site. Each item may be classified into only one category and shall not be reclassified to avoid more stringent requirements. </w:t>
      </w:r>
      <w:r w:rsidRPr="00ED753C">
        <w:t>Classification of a manufactured product does not relieve the Contractor of compliance with iron and steel domestic manufacturing requirements applicable to embedded iron or steel components when required by Federal law or regulation.</w:t>
      </w:r>
      <w:r>
        <w:t xml:space="preserve"> </w:t>
      </w:r>
      <w:r w:rsidRPr="001E69E6">
        <w:t>When an item’s classification is uncertain or does not clearly fall within the listed categories, the Contractor shall submit the item for review by the Engineer. Approval must be obtained prior to procurement or incorporation into the project.</w:t>
      </w:r>
    </w:p>
    <w:p w14:paraId="5D3B803A" w14:textId="77777777" w:rsidR="004A176B" w:rsidRDefault="004A176B" w:rsidP="008D24D3">
      <w:pPr>
        <w:widowControl w:val="0"/>
        <w:jc w:val="both"/>
        <w:rPr>
          <w:szCs w:val="24"/>
        </w:rPr>
      </w:pPr>
    </w:p>
    <w:sectPr w:rsidR="004A176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3926" w14:textId="77777777" w:rsidR="008D2F72" w:rsidRDefault="008D2F72">
      <w:r>
        <w:separator/>
      </w:r>
    </w:p>
  </w:endnote>
  <w:endnote w:type="continuationSeparator" w:id="0">
    <w:p w14:paraId="1970D2DC" w14:textId="77777777" w:rsidR="008D2F72" w:rsidRDefault="008D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F607" w14:textId="77777777" w:rsidR="003F514D" w:rsidRDefault="003F5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E899" w14:textId="77777777" w:rsidR="003F514D" w:rsidRDefault="003F5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D88F" w14:textId="77777777" w:rsidR="003F514D" w:rsidRDefault="003F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0B81" w14:textId="77777777" w:rsidR="008D2F72" w:rsidRDefault="008D2F72">
      <w:r>
        <w:separator/>
      </w:r>
    </w:p>
  </w:footnote>
  <w:footnote w:type="continuationSeparator" w:id="0">
    <w:p w14:paraId="2A9CA9D0" w14:textId="77777777" w:rsidR="008D2F72" w:rsidRDefault="008D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7549" w14:textId="77777777" w:rsidR="003F514D" w:rsidRDefault="003F5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A61D" w14:textId="77777777" w:rsidR="007C6D7A" w:rsidRPr="00AF68C4" w:rsidRDefault="007C6D7A">
    <w:pPr>
      <w:tabs>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D564" w14:textId="77777777" w:rsidR="003F514D" w:rsidRDefault="003F5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1AB"/>
    <w:multiLevelType w:val="multilevel"/>
    <w:tmpl w:val="95E88B84"/>
    <w:lvl w:ilvl="0">
      <w:start w:val="1"/>
      <w:numFmt w:val="lowerLetter"/>
      <w:lvlText w:val="(%1)"/>
      <w:lvlJc w:val="left"/>
      <w:pPr>
        <w:tabs>
          <w:tab w:val="num" w:pos="1080"/>
        </w:tabs>
        <w:ind w:left="1080" w:hanging="360"/>
      </w:pPr>
      <w:rPr>
        <w:rFonts w:ascii="Times New Roman" w:hAnsi="Times New Roman" w:hint="default"/>
        <w:b w:val="0"/>
        <w:i w:val="0"/>
        <w:sz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3"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CA612A4"/>
    <w:multiLevelType w:val="hybridMultilevel"/>
    <w:tmpl w:val="0D189B10"/>
    <w:lvl w:ilvl="0" w:tplc="FFFFFFFF">
      <w:start w:val="1"/>
      <w:numFmt w:val="lowerLetter"/>
      <w:lvlText w:val="(%1)"/>
      <w:lvlJc w:val="left"/>
      <w:pPr>
        <w:ind w:left="1440" w:hanging="360"/>
      </w:pPr>
      <w:rPr>
        <w:rFonts w:ascii="Times New Roman" w:hAnsi="Times New Roman" w:hint="default"/>
        <w:b w:val="0"/>
        <w:i w:val="0"/>
        <w:sz w:val="24"/>
      </w:rPr>
    </w:lvl>
    <w:lvl w:ilvl="1" w:tplc="6E94B6D2">
      <w:start w:val="1"/>
      <w:numFmt w:val="lowerLetter"/>
      <w:lvlText w:val="(%2)"/>
      <w:lvlJc w:val="left"/>
      <w:pPr>
        <w:ind w:left="1440" w:hanging="360"/>
      </w:pPr>
      <w:rPr>
        <w:rFonts w:ascii="Times New Roman" w:hAnsi="Times New Roman" w:hint="default"/>
        <w:b w:val="0"/>
        <w:i w:val="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DE41926"/>
    <w:multiLevelType w:val="hybridMultilevel"/>
    <w:tmpl w:val="841CC78E"/>
    <w:lvl w:ilvl="0" w:tplc="1C0417FE">
      <w:start w:val="1"/>
      <w:numFmt w:val="lowerRoman"/>
      <w:lvlText w:val="(%1)"/>
      <w:lvlJc w:val="left"/>
      <w:pPr>
        <w:ind w:left="1800" w:hanging="360"/>
      </w:pPr>
      <w:rPr>
        <w:rFonts w:hint="default"/>
        <w:sz w:val="24"/>
        <w:szCs w:val="24"/>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51910388">
    <w:abstractNumId w:val="2"/>
  </w:num>
  <w:num w:numId="2" w16cid:durableId="887575208">
    <w:abstractNumId w:val="7"/>
  </w:num>
  <w:num w:numId="3" w16cid:durableId="1352875242">
    <w:abstractNumId w:val="5"/>
  </w:num>
  <w:num w:numId="4" w16cid:durableId="2090537287">
    <w:abstractNumId w:val="8"/>
  </w:num>
  <w:num w:numId="5" w16cid:durableId="1035229757">
    <w:abstractNumId w:val="3"/>
  </w:num>
  <w:num w:numId="6" w16cid:durableId="519586812">
    <w:abstractNumId w:val="1"/>
  </w:num>
  <w:num w:numId="7" w16cid:durableId="1575313350">
    <w:abstractNumId w:val="4"/>
  </w:num>
  <w:num w:numId="8" w16cid:durableId="822695419">
    <w:abstractNumId w:val="0"/>
  </w:num>
  <w:num w:numId="9" w16cid:durableId="2138260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03ADE"/>
    <w:rsid w:val="000315DA"/>
    <w:rsid w:val="00037DFF"/>
    <w:rsid w:val="0004701A"/>
    <w:rsid w:val="00050BF0"/>
    <w:rsid w:val="0006421A"/>
    <w:rsid w:val="0007076D"/>
    <w:rsid w:val="00073D89"/>
    <w:rsid w:val="00085EC3"/>
    <w:rsid w:val="000922FE"/>
    <w:rsid w:val="00095B3B"/>
    <w:rsid w:val="000A366F"/>
    <w:rsid w:val="000A527B"/>
    <w:rsid w:val="000A7933"/>
    <w:rsid w:val="000B6D2B"/>
    <w:rsid w:val="000B7BD2"/>
    <w:rsid w:val="000C19C3"/>
    <w:rsid w:val="000D6E26"/>
    <w:rsid w:val="000E771C"/>
    <w:rsid w:val="000E7C43"/>
    <w:rsid w:val="000F450C"/>
    <w:rsid w:val="000F5DFC"/>
    <w:rsid w:val="000F79B8"/>
    <w:rsid w:val="00103128"/>
    <w:rsid w:val="001041B8"/>
    <w:rsid w:val="0011176D"/>
    <w:rsid w:val="00113144"/>
    <w:rsid w:val="00117EBC"/>
    <w:rsid w:val="001214DF"/>
    <w:rsid w:val="00123304"/>
    <w:rsid w:val="00141C5C"/>
    <w:rsid w:val="00150D77"/>
    <w:rsid w:val="00151057"/>
    <w:rsid w:val="0015691F"/>
    <w:rsid w:val="00163DA8"/>
    <w:rsid w:val="00163FA7"/>
    <w:rsid w:val="0016404C"/>
    <w:rsid w:val="0017336F"/>
    <w:rsid w:val="001B088A"/>
    <w:rsid w:val="001C5965"/>
    <w:rsid w:val="001D390F"/>
    <w:rsid w:val="001D5C88"/>
    <w:rsid w:val="001D778A"/>
    <w:rsid w:val="001E2304"/>
    <w:rsid w:val="001F5596"/>
    <w:rsid w:val="001F624A"/>
    <w:rsid w:val="002007B9"/>
    <w:rsid w:val="002026B5"/>
    <w:rsid w:val="00205157"/>
    <w:rsid w:val="00210524"/>
    <w:rsid w:val="00221E70"/>
    <w:rsid w:val="00260FF2"/>
    <w:rsid w:val="002769D7"/>
    <w:rsid w:val="002970A8"/>
    <w:rsid w:val="002A386E"/>
    <w:rsid w:val="002A5B49"/>
    <w:rsid w:val="002A7E47"/>
    <w:rsid w:val="002B124D"/>
    <w:rsid w:val="002B2242"/>
    <w:rsid w:val="002B60BE"/>
    <w:rsid w:val="002B75BA"/>
    <w:rsid w:val="002C5F64"/>
    <w:rsid w:val="002D71A6"/>
    <w:rsid w:val="002E107C"/>
    <w:rsid w:val="002E1241"/>
    <w:rsid w:val="002F506B"/>
    <w:rsid w:val="003005E2"/>
    <w:rsid w:val="00302790"/>
    <w:rsid w:val="003038BE"/>
    <w:rsid w:val="00310AE3"/>
    <w:rsid w:val="0032761C"/>
    <w:rsid w:val="00330434"/>
    <w:rsid w:val="00336952"/>
    <w:rsid w:val="003444E6"/>
    <w:rsid w:val="00362810"/>
    <w:rsid w:val="00371A93"/>
    <w:rsid w:val="0037284E"/>
    <w:rsid w:val="003835B4"/>
    <w:rsid w:val="003858B2"/>
    <w:rsid w:val="003A256A"/>
    <w:rsid w:val="003A45B0"/>
    <w:rsid w:val="003B3245"/>
    <w:rsid w:val="003B4CDB"/>
    <w:rsid w:val="003E7C7F"/>
    <w:rsid w:val="003F2A56"/>
    <w:rsid w:val="003F3361"/>
    <w:rsid w:val="003F514D"/>
    <w:rsid w:val="00403B90"/>
    <w:rsid w:val="00410832"/>
    <w:rsid w:val="00413164"/>
    <w:rsid w:val="00414503"/>
    <w:rsid w:val="0042774F"/>
    <w:rsid w:val="00446EAB"/>
    <w:rsid w:val="00450F9A"/>
    <w:rsid w:val="00457B45"/>
    <w:rsid w:val="00463C2F"/>
    <w:rsid w:val="004659EB"/>
    <w:rsid w:val="00470CA1"/>
    <w:rsid w:val="00472C50"/>
    <w:rsid w:val="00474C7B"/>
    <w:rsid w:val="004753AB"/>
    <w:rsid w:val="004772FD"/>
    <w:rsid w:val="00483823"/>
    <w:rsid w:val="004A176B"/>
    <w:rsid w:val="004B2889"/>
    <w:rsid w:val="004B3DDD"/>
    <w:rsid w:val="004C0126"/>
    <w:rsid w:val="004C1995"/>
    <w:rsid w:val="004D3333"/>
    <w:rsid w:val="004E295F"/>
    <w:rsid w:val="004E2976"/>
    <w:rsid w:val="004E5411"/>
    <w:rsid w:val="004E7356"/>
    <w:rsid w:val="004F1661"/>
    <w:rsid w:val="00500875"/>
    <w:rsid w:val="00502500"/>
    <w:rsid w:val="00527B8A"/>
    <w:rsid w:val="00532723"/>
    <w:rsid w:val="0054253A"/>
    <w:rsid w:val="00546ADC"/>
    <w:rsid w:val="005532C7"/>
    <w:rsid w:val="005610F8"/>
    <w:rsid w:val="00566D30"/>
    <w:rsid w:val="00572080"/>
    <w:rsid w:val="00581795"/>
    <w:rsid w:val="0058297C"/>
    <w:rsid w:val="005839DD"/>
    <w:rsid w:val="00594F66"/>
    <w:rsid w:val="005A16D5"/>
    <w:rsid w:val="005A2354"/>
    <w:rsid w:val="005B6318"/>
    <w:rsid w:val="005B6B96"/>
    <w:rsid w:val="005C43C3"/>
    <w:rsid w:val="005D3E8A"/>
    <w:rsid w:val="005D5AD3"/>
    <w:rsid w:val="005F07FA"/>
    <w:rsid w:val="005F1755"/>
    <w:rsid w:val="005F21C8"/>
    <w:rsid w:val="005F6FD5"/>
    <w:rsid w:val="00601498"/>
    <w:rsid w:val="006019CB"/>
    <w:rsid w:val="0063587F"/>
    <w:rsid w:val="006374AB"/>
    <w:rsid w:val="0064008E"/>
    <w:rsid w:val="00645323"/>
    <w:rsid w:val="00663823"/>
    <w:rsid w:val="006643FE"/>
    <w:rsid w:val="00677CB6"/>
    <w:rsid w:val="0068422D"/>
    <w:rsid w:val="006917BD"/>
    <w:rsid w:val="00691A2D"/>
    <w:rsid w:val="00691B6A"/>
    <w:rsid w:val="00694D3B"/>
    <w:rsid w:val="006B4EC6"/>
    <w:rsid w:val="006B5307"/>
    <w:rsid w:val="006C448B"/>
    <w:rsid w:val="006D129E"/>
    <w:rsid w:val="006D2150"/>
    <w:rsid w:val="006F2C60"/>
    <w:rsid w:val="00710BB3"/>
    <w:rsid w:val="007203B2"/>
    <w:rsid w:val="00720F60"/>
    <w:rsid w:val="00721420"/>
    <w:rsid w:val="0072497F"/>
    <w:rsid w:val="00725205"/>
    <w:rsid w:val="00726D7D"/>
    <w:rsid w:val="00730409"/>
    <w:rsid w:val="00730A5B"/>
    <w:rsid w:val="007329E1"/>
    <w:rsid w:val="00740EB6"/>
    <w:rsid w:val="00742840"/>
    <w:rsid w:val="00755985"/>
    <w:rsid w:val="007577FA"/>
    <w:rsid w:val="007810FF"/>
    <w:rsid w:val="007855B2"/>
    <w:rsid w:val="00785F28"/>
    <w:rsid w:val="00786873"/>
    <w:rsid w:val="007869B1"/>
    <w:rsid w:val="0079360B"/>
    <w:rsid w:val="00795761"/>
    <w:rsid w:val="007A2C8A"/>
    <w:rsid w:val="007A3DDA"/>
    <w:rsid w:val="007A404F"/>
    <w:rsid w:val="007A701A"/>
    <w:rsid w:val="007A74FD"/>
    <w:rsid w:val="007B17AF"/>
    <w:rsid w:val="007B3990"/>
    <w:rsid w:val="007C17F3"/>
    <w:rsid w:val="007C252D"/>
    <w:rsid w:val="007C405E"/>
    <w:rsid w:val="007C6D7A"/>
    <w:rsid w:val="007E05F6"/>
    <w:rsid w:val="007E12F8"/>
    <w:rsid w:val="007E1D08"/>
    <w:rsid w:val="008107F5"/>
    <w:rsid w:val="00822007"/>
    <w:rsid w:val="0083093B"/>
    <w:rsid w:val="008407FA"/>
    <w:rsid w:val="00840896"/>
    <w:rsid w:val="00844106"/>
    <w:rsid w:val="00844B01"/>
    <w:rsid w:val="008522DF"/>
    <w:rsid w:val="00855E65"/>
    <w:rsid w:val="008562A0"/>
    <w:rsid w:val="00857303"/>
    <w:rsid w:val="00866B5C"/>
    <w:rsid w:val="00882A53"/>
    <w:rsid w:val="0089280D"/>
    <w:rsid w:val="008947B5"/>
    <w:rsid w:val="008979FF"/>
    <w:rsid w:val="008A18D2"/>
    <w:rsid w:val="008A3A58"/>
    <w:rsid w:val="008B3293"/>
    <w:rsid w:val="008B4F45"/>
    <w:rsid w:val="008D24D3"/>
    <w:rsid w:val="008D2F72"/>
    <w:rsid w:val="008F28EE"/>
    <w:rsid w:val="00903FB7"/>
    <w:rsid w:val="009069B6"/>
    <w:rsid w:val="0091031C"/>
    <w:rsid w:val="0091727A"/>
    <w:rsid w:val="00921EAB"/>
    <w:rsid w:val="00924D2C"/>
    <w:rsid w:val="0094018E"/>
    <w:rsid w:val="00954B41"/>
    <w:rsid w:val="00983E9B"/>
    <w:rsid w:val="00984CC5"/>
    <w:rsid w:val="0098716C"/>
    <w:rsid w:val="00995ACB"/>
    <w:rsid w:val="009D5733"/>
    <w:rsid w:val="009D65D6"/>
    <w:rsid w:val="009D767F"/>
    <w:rsid w:val="009F4009"/>
    <w:rsid w:val="00A000BA"/>
    <w:rsid w:val="00A01B0F"/>
    <w:rsid w:val="00A01E45"/>
    <w:rsid w:val="00A16D96"/>
    <w:rsid w:val="00A17249"/>
    <w:rsid w:val="00A2147E"/>
    <w:rsid w:val="00A37143"/>
    <w:rsid w:val="00A37916"/>
    <w:rsid w:val="00A62232"/>
    <w:rsid w:val="00A72665"/>
    <w:rsid w:val="00A74192"/>
    <w:rsid w:val="00AA133E"/>
    <w:rsid w:val="00AC6F15"/>
    <w:rsid w:val="00AD50A7"/>
    <w:rsid w:val="00AD6BD5"/>
    <w:rsid w:val="00AE0ED4"/>
    <w:rsid w:val="00AE2DF0"/>
    <w:rsid w:val="00AE48F7"/>
    <w:rsid w:val="00AF4C2A"/>
    <w:rsid w:val="00AF68C4"/>
    <w:rsid w:val="00B1066F"/>
    <w:rsid w:val="00B40568"/>
    <w:rsid w:val="00B50727"/>
    <w:rsid w:val="00B5492B"/>
    <w:rsid w:val="00B6735F"/>
    <w:rsid w:val="00B8431C"/>
    <w:rsid w:val="00BB4A80"/>
    <w:rsid w:val="00BB6CE6"/>
    <w:rsid w:val="00BD6E2C"/>
    <w:rsid w:val="00BF0E24"/>
    <w:rsid w:val="00BF4442"/>
    <w:rsid w:val="00BF4DC5"/>
    <w:rsid w:val="00C144C9"/>
    <w:rsid w:val="00C173FD"/>
    <w:rsid w:val="00C17C19"/>
    <w:rsid w:val="00C329E9"/>
    <w:rsid w:val="00C34422"/>
    <w:rsid w:val="00C45E62"/>
    <w:rsid w:val="00C52BCF"/>
    <w:rsid w:val="00C54ABD"/>
    <w:rsid w:val="00C670FC"/>
    <w:rsid w:val="00C714D5"/>
    <w:rsid w:val="00C856BA"/>
    <w:rsid w:val="00C9182A"/>
    <w:rsid w:val="00C92CC7"/>
    <w:rsid w:val="00C9654B"/>
    <w:rsid w:val="00CA0A77"/>
    <w:rsid w:val="00CA410A"/>
    <w:rsid w:val="00CB0D97"/>
    <w:rsid w:val="00CB4126"/>
    <w:rsid w:val="00CB5FE9"/>
    <w:rsid w:val="00CD15B6"/>
    <w:rsid w:val="00CD1EB3"/>
    <w:rsid w:val="00CD4787"/>
    <w:rsid w:val="00CE042B"/>
    <w:rsid w:val="00CE0ACE"/>
    <w:rsid w:val="00CE3C99"/>
    <w:rsid w:val="00CF72CE"/>
    <w:rsid w:val="00D05D22"/>
    <w:rsid w:val="00D14AAC"/>
    <w:rsid w:val="00D25E99"/>
    <w:rsid w:val="00D329CA"/>
    <w:rsid w:val="00D601D5"/>
    <w:rsid w:val="00D71E58"/>
    <w:rsid w:val="00D810A2"/>
    <w:rsid w:val="00D8667E"/>
    <w:rsid w:val="00D928AD"/>
    <w:rsid w:val="00D9290A"/>
    <w:rsid w:val="00DA034B"/>
    <w:rsid w:val="00DA18BD"/>
    <w:rsid w:val="00DB1D4C"/>
    <w:rsid w:val="00DB23A8"/>
    <w:rsid w:val="00DC0533"/>
    <w:rsid w:val="00DC662B"/>
    <w:rsid w:val="00DD6669"/>
    <w:rsid w:val="00DE7803"/>
    <w:rsid w:val="00E0330C"/>
    <w:rsid w:val="00E0350F"/>
    <w:rsid w:val="00E22B16"/>
    <w:rsid w:val="00E25368"/>
    <w:rsid w:val="00E27D4E"/>
    <w:rsid w:val="00E32BB6"/>
    <w:rsid w:val="00E3348C"/>
    <w:rsid w:val="00E41776"/>
    <w:rsid w:val="00E425D7"/>
    <w:rsid w:val="00E6246C"/>
    <w:rsid w:val="00E65B5B"/>
    <w:rsid w:val="00E6675A"/>
    <w:rsid w:val="00E66F36"/>
    <w:rsid w:val="00E81B11"/>
    <w:rsid w:val="00E86EE2"/>
    <w:rsid w:val="00E91D01"/>
    <w:rsid w:val="00E957D9"/>
    <w:rsid w:val="00EB6B4E"/>
    <w:rsid w:val="00EB7152"/>
    <w:rsid w:val="00EC00E6"/>
    <w:rsid w:val="00EC1923"/>
    <w:rsid w:val="00ED156A"/>
    <w:rsid w:val="00ED21A8"/>
    <w:rsid w:val="00ED3E9A"/>
    <w:rsid w:val="00EE023D"/>
    <w:rsid w:val="00EE625F"/>
    <w:rsid w:val="00EF5ADD"/>
    <w:rsid w:val="00EF646C"/>
    <w:rsid w:val="00F03D4B"/>
    <w:rsid w:val="00F10E30"/>
    <w:rsid w:val="00F11B32"/>
    <w:rsid w:val="00F13737"/>
    <w:rsid w:val="00F21123"/>
    <w:rsid w:val="00F34282"/>
    <w:rsid w:val="00F40785"/>
    <w:rsid w:val="00F538BB"/>
    <w:rsid w:val="00F71C9C"/>
    <w:rsid w:val="00F91276"/>
    <w:rsid w:val="00F91EC6"/>
    <w:rsid w:val="00F92DD6"/>
    <w:rsid w:val="00FA1F69"/>
    <w:rsid w:val="00FA4337"/>
    <w:rsid w:val="00FA6E07"/>
    <w:rsid w:val="00FB7098"/>
    <w:rsid w:val="00FC76B4"/>
    <w:rsid w:val="00FD439D"/>
    <w:rsid w:val="00FD59E7"/>
    <w:rsid w:val="00FF0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B04C6"/>
  <w15:docId w15:val="{1E7A43C6-3AB6-4239-AF6A-D2D6D8BB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E3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41B8"/>
    <w:pPr>
      <w:jc w:val="both"/>
    </w:pPr>
  </w:style>
  <w:style w:type="character" w:customStyle="1" w:styleId="BodyTextChar">
    <w:name w:val="Body Text Char"/>
    <w:basedOn w:val="DefaultParagraphFont"/>
    <w:link w:val="BodyText"/>
    <w:rsid w:val="001041B8"/>
    <w:rPr>
      <w:sz w:val="24"/>
    </w:rPr>
  </w:style>
  <w:style w:type="paragraph" w:styleId="BalloonText">
    <w:name w:val="Balloon Text"/>
    <w:basedOn w:val="Normal"/>
    <w:link w:val="BalloonTextChar"/>
    <w:rsid w:val="00AE2DF0"/>
    <w:rPr>
      <w:rFonts w:ascii="Tahoma" w:hAnsi="Tahoma" w:cs="Tahoma"/>
      <w:sz w:val="16"/>
      <w:szCs w:val="16"/>
    </w:rPr>
  </w:style>
  <w:style w:type="character" w:customStyle="1" w:styleId="BalloonTextChar">
    <w:name w:val="Balloon Text Char"/>
    <w:basedOn w:val="DefaultParagraphFont"/>
    <w:link w:val="BalloonText"/>
    <w:rsid w:val="00AE2DF0"/>
    <w:rPr>
      <w:rFonts w:ascii="Tahoma" w:hAnsi="Tahoma" w:cs="Tahoma"/>
      <w:sz w:val="16"/>
      <w:szCs w:val="16"/>
    </w:rPr>
  </w:style>
  <w:style w:type="character" w:styleId="CommentReference">
    <w:name w:val="annotation reference"/>
    <w:basedOn w:val="DefaultParagraphFont"/>
    <w:semiHidden/>
    <w:unhideWhenUsed/>
    <w:rsid w:val="001E2304"/>
    <w:rPr>
      <w:sz w:val="16"/>
      <w:szCs w:val="16"/>
    </w:rPr>
  </w:style>
  <w:style w:type="paragraph" w:styleId="CommentText">
    <w:name w:val="annotation text"/>
    <w:basedOn w:val="Normal"/>
    <w:link w:val="CommentTextChar"/>
    <w:unhideWhenUsed/>
    <w:rsid w:val="001E2304"/>
    <w:rPr>
      <w:sz w:val="20"/>
    </w:rPr>
  </w:style>
  <w:style w:type="character" w:customStyle="1" w:styleId="CommentTextChar">
    <w:name w:val="Comment Text Char"/>
    <w:basedOn w:val="DefaultParagraphFont"/>
    <w:link w:val="CommentText"/>
    <w:rsid w:val="001E2304"/>
  </w:style>
  <w:style w:type="paragraph" w:styleId="CommentSubject">
    <w:name w:val="annotation subject"/>
    <w:basedOn w:val="CommentText"/>
    <w:next w:val="CommentText"/>
    <w:link w:val="CommentSubjectChar"/>
    <w:semiHidden/>
    <w:unhideWhenUsed/>
    <w:rsid w:val="001E2304"/>
    <w:rPr>
      <w:b/>
      <w:bCs/>
    </w:rPr>
  </w:style>
  <w:style w:type="character" w:customStyle="1" w:styleId="CommentSubjectChar">
    <w:name w:val="Comment Subject Char"/>
    <w:basedOn w:val="CommentTextChar"/>
    <w:link w:val="CommentSubject"/>
    <w:semiHidden/>
    <w:rsid w:val="001E2304"/>
    <w:rPr>
      <w:b/>
      <w:bCs/>
    </w:rPr>
  </w:style>
  <w:style w:type="character" w:styleId="UnresolvedMention">
    <w:name w:val="Unresolved Mention"/>
    <w:basedOn w:val="DefaultParagraphFont"/>
    <w:uiPriority w:val="99"/>
    <w:semiHidden/>
    <w:unhideWhenUsed/>
    <w:rsid w:val="00903FB7"/>
    <w:rPr>
      <w:color w:val="605E5C"/>
      <w:shd w:val="clear" w:color="auto" w:fill="E1DFDD"/>
    </w:rPr>
  </w:style>
  <w:style w:type="paragraph" w:styleId="Revision">
    <w:name w:val="Revision"/>
    <w:hidden/>
    <w:uiPriority w:val="99"/>
    <w:semiHidden/>
    <w:rsid w:val="00C670FC"/>
    <w:rPr>
      <w:sz w:val="24"/>
    </w:rPr>
  </w:style>
  <w:style w:type="character" w:styleId="FollowedHyperlink">
    <w:name w:val="FollowedHyperlink"/>
    <w:basedOn w:val="DefaultParagraphFont"/>
    <w:semiHidden/>
    <w:unhideWhenUsed/>
    <w:rsid w:val="005D3E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t_x0020_Date xmlns="5e7874b7-19b8-4222-9f87-80bf0b085ea3">2026-10</Let_x0020_Date>
    <Provision xmlns="5e7874b7-19b8-4222-9f87-80bf0b085ea3">BUILD  AMERICA, BUY AMERICA (BABA)</Provision>
    <File_x0020_Category xmlns="5e7874b7-19b8-4222-9f87-80bf0b085ea3"/>
    <Provision_x0020_Number xmlns="5e7874b7-19b8-4222-9f87-80bf0b085ea3">SP01 G005C</Provision_x0020_Number>
    <No_x002e_ xmlns="5e7874b7-19b8-4222-9f87-80bf0b085ea3">SP01G</No_x002e_>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DC304-F1D2-4DAB-966E-4F898D5F1254}"/>
</file>

<file path=customXml/itemProps2.xml><?xml version="1.0" encoding="utf-8"?>
<ds:datastoreItem xmlns:ds="http://schemas.openxmlformats.org/officeDocument/2006/customXml" ds:itemID="{44F204D4-EDD3-4D45-9FB9-2A2BA2BC9454}">
  <ds:schemaRefs>
    <ds:schemaRef ds:uri="http://schemas.microsoft.com/sharepoint/v3/contenttype/forms"/>
  </ds:schemaRefs>
</ds:datastoreItem>
</file>

<file path=customXml/itemProps3.xml><?xml version="1.0" encoding="utf-8"?>
<ds:datastoreItem xmlns:ds="http://schemas.openxmlformats.org/officeDocument/2006/customXml" ds:itemID="{36653963-AFF6-4A31-A4F9-8E7749FC38CB}">
  <ds:schemaRefs>
    <ds:schemaRef ds:uri="http://schemas.microsoft.com/office/2006/metadata/properties"/>
    <ds:schemaRef ds:uri="http://schemas.microsoft.com/office/infopath/2007/PartnerControls"/>
    <ds:schemaRef ds:uri="9425e8c1-9722-47a7-a606-4c34966caaea"/>
  </ds:schemaRefs>
</ds:datastoreItem>
</file>

<file path=customXml/itemProps4.xml><?xml version="1.0" encoding="utf-8"?>
<ds:datastoreItem xmlns:ds="http://schemas.openxmlformats.org/officeDocument/2006/customXml" ds:itemID="{87DDA35B-EDF0-49B8-917E-8694D84A4E40}"/>
</file>

<file path=customXml/itemProps5.xml><?xml version="1.0" encoding="utf-8"?>
<ds:datastoreItem xmlns:ds="http://schemas.openxmlformats.org/officeDocument/2006/customXml" ds:itemID="{F9BBF254-D9E2-4B59-9F9C-4BD20A429D09}">
  <ds:schemaRefs>
    <ds:schemaRef ds:uri="http://schemas.openxmlformats.org/officeDocument/2006/bibliography"/>
  </ds:schemaRefs>
</ds:datastoreItem>
</file>

<file path=docMetadata/LabelInfo.xml><?xml version="1.0" encoding="utf-8"?>
<clbl:labelList xmlns:clbl="http://schemas.microsoft.com/office/2020/mipLabelMetadata">
  <clbl:label id="{eeddff93-fdac-4230-9829-442a93ad1da2}" enabled="0" method="" siteId="{eeddff93-fdac-4230-9829-442a93ad1da2}"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5</Pages>
  <Words>1794</Words>
  <Characters>10012</Characters>
  <Application>Microsoft Office Word</Application>
  <DocSecurity>0</DocSecurity>
  <Lines>172</Lines>
  <Paragraphs>57</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subject/>
  <dc:creator>fadams</dc:creator>
  <cp:keywords>858, 858-3, SP8, R95, R95R, SP8R95R, SP8 R95R, Adjustment of Manholes, Adjustment, Manhole, Manholes, cast iron, cast, iron, steel fittings, steel, fittings, ring, rings, tack, welded, tack welded</cp:keywords>
  <dc:description/>
  <cp:lastModifiedBy>Penny, Lisa E</cp:lastModifiedBy>
  <cp:revision>19</cp:revision>
  <cp:lastPrinted>2025-07-14T17:27:00Z</cp:lastPrinted>
  <dcterms:created xsi:type="dcterms:W3CDTF">2025-09-30T03:21:00Z</dcterms:created>
  <dcterms:modified xsi:type="dcterms:W3CDTF">2026-05-18T20:35:00Z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0x0101006D7BA4DC522AC84F97AE8002107D7316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docLang">
    <vt:lpwstr>en</vt:lpwstr>
  </property>
  <property fmtid="{D5CDD505-2E9C-101B-9397-08002B2CF9AE}" pid="39" name="Order">
    <vt:r8>29500</vt:r8>
  </property>
</Properties>
</file>